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3" w:rsidRPr="00F73363" w:rsidRDefault="00F73363" w:rsidP="00F73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hyperlink r:id="rId5" w:history="1">
        <w:r w:rsidRPr="00F7336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Федеральный закон от 17 июля 1999 г. N 178-ФЗ</w:t>
        </w:r>
        <w:r w:rsidRPr="00F7336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br/>
          <w:t>"О государственной социальной помощи"</w:t>
        </w:r>
      </w:hyperlink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</w:pPr>
      <w:r w:rsidRPr="00F73363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Theme="minorEastAsia" w:hAnsi="Arial" w:cs="Arial"/>
          <w:color w:val="353842"/>
          <w:sz w:val="20"/>
          <w:szCs w:val="20"/>
          <w:shd w:val="clear" w:color="auto" w:fill="EAEFED"/>
          <w:lang w:eastAsia="ru-RU"/>
        </w:rPr>
      </w:pPr>
      <w:r w:rsidRPr="00F73363">
        <w:rPr>
          <w:rFonts w:ascii="Arial" w:eastAsiaTheme="minorEastAsia" w:hAnsi="Arial" w:cs="Arial"/>
          <w:color w:val="353842"/>
          <w:sz w:val="20"/>
          <w:szCs w:val="20"/>
          <w:shd w:val="clear" w:color="auto" w:fill="EAEFED"/>
          <w:lang w:eastAsia="ru-RU"/>
        </w:rPr>
        <w:t>22 августа, 29 декабря 2004 г., 25 ноября 2006 г., 18 октября 2007 г., 1 марта, 14 июля, 22 декабря 2008 г., 28 апреля, 24 июля, 25 декабря 2009 г., 8 декабря 2010 г., 1 июля 2011 г., 28 июля, 25 декабря 2012 г., 7 мая, 2 июля, 25 ноября, 28 декабря 2013 г., 12 марта, 21 июля 2014 г., 28 ноября, 29 декабря 2015 г., 19 декабря 2016 г.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73363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Принят Государственной Думой 25 июня 1999 года</w:t>
      </w:r>
    </w:p>
    <w:p w:rsid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F73363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Одобрен Советом Федерации 2 июля 1999 года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73363" w:rsidRDefault="00F73363" w:rsidP="00F73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bookmarkStart w:id="0" w:name="sub_200"/>
      <w:r w:rsidRPr="00F73363">
        <w:rPr>
          <w:rFonts w:ascii="Arial" w:eastAsiaTheme="minorEastAsia" w:hAnsi="Arial" w:cs="Arial"/>
          <w:b/>
          <w:bCs/>
          <w:color w:val="26282F"/>
          <w:lang w:eastAsia="ru-RU"/>
        </w:rPr>
        <w:t>Глава 2. Государственная социальная помощь, оказываемая в виде предоставления гражданам набора социальных услуг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bookmarkStart w:id="1" w:name="_GoBack"/>
      <w:bookmarkEnd w:id="1"/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lang w:eastAsia="ru-RU"/>
        </w:rPr>
      </w:pPr>
      <w:bookmarkStart w:id="2" w:name="sub_2000061"/>
      <w:bookmarkEnd w:id="0"/>
      <w:r w:rsidRPr="00F73363">
        <w:rPr>
          <w:rFonts w:ascii="Arial" w:eastAsiaTheme="minorEastAsia" w:hAnsi="Arial" w:cs="Arial"/>
          <w:b/>
          <w:bCs/>
          <w:color w:val="26282F"/>
          <w:lang w:eastAsia="ru-RU"/>
        </w:rPr>
        <w:t>Статья 6.1</w:t>
      </w:r>
      <w:r w:rsidRPr="00F73363">
        <w:rPr>
          <w:rFonts w:ascii="Arial" w:eastAsiaTheme="minorEastAsia" w:hAnsi="Arial" w:cs="Arial"/>
          <w:lang w:eastAsia="ru-RU"/>
        </w:rPr>
        <w:t>. Право на получение государственной социальной помощи в виде набора социальных услуг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3" w:name="sub_200061"/>
      <w:bookmarkEnd w:id="2"/>
      <w:r w:rsidRPr="00F73363">
        <w:rPr>
          <w:rFonts w:ascii="Arial" w:eastAsiaTheme="minorEastAsia" w:hAnsi="Arial" w:cs="Arial"/>
          <w:lang w:eastAsia="ru-RU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4" w:name="sub_20000611"/>
      <w:bookmarkEnd w:id="3"/>
      <w:r w:rsidRPr="00F73363">
        <w:rPr>
          <w:rFonts w:ascii="Arial" w:eastAsiaTheme="minorEastAsia" w:hAnsi="Arial" w:cs="Arial"/>
          <w:lang w:eastAsia="ru-RU"/>
        </w:rPr>
        <w:t>1) инвалиды войны;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5" w:name="sub_20000612"/>
      <w:bookmarkEnd w:id="4"/>
      <w:r w:rsidRPr="00F73363">
        <w:rPr>
          <w:rFonts w:ascii="Arial" w:eastAsiaTheme="minorEastAsia" w:hAnsi="Arial" w:cs="Arial"/>
          <w:lang w:eastAsia="ru-RU"/>
        </w:rPr>
        <w:t>2) участники Великой Отечественной войны;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6" w:name="sub_20000613"/>
      <w:bookmarkEnd w:id="5"/>
      <w:r w:rsidRPr="00F73363">
        <w:rPr>
          <w:rFonts w:ascii="Arial" w:eastAsiaTheme="minorEastAsia" w:hAnsi="Arial" w:cs="Arial"/>
          <w:lang w:eastAsia="ru-RU"/>
        </w:rPr>
        <w:t xml:space="preserve">3) ветераны боевых действий из числа лиц, указанных в </w:t>
      </w:r>
      <w:hyperlink r:id="rId6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подпунктах 1-4 пункта 1 статьи 3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Федерального закона "О ветеранах" (в редакции </w:t>
      </w:r>
      <w:hyperlink r:id="rId7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Федерального закона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от 2 января 2000 года N 40-ФЗ);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7" w:name="sub_20000614"/>
      <w:bookmarkEnd w:id="6"/>
      <w:r w:rsidRPr="00F73363">
        <w:rPr>
          <w:rFonts w:ascii="Arial" w:eastAsiaTheme="minorEastAsia" w:hAnsi="Arial" w:cs="Arial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 июня 1941 года по 3 сентября 1945 года не менее шести месяцев, военнослужащие, награжденные орденами или медалями СССР за службу в указанный период;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8" w:name="sub_20000615"/>
      <w:bookmarkEnd w:id="7"/>
      <w:r w:rsidRPr="00F73363">
        <w:rPr>
          <w:rFonts w:ascii="Arial" w:eastAsiaTheme="minorEastAsia" w:hAnsi="Arial" w:cs="Arial"/>
          <w:lang w:eastAsia="ru-RU"/>
        </w:rPr>
        <w:t>5) лица, награжденные знаком "Жителю блокадного Ленинграда";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9" w:name="sub_20000616"/>
      <w:bookmarkEnd w:id="8"/>
      <w:r w:rsidRPr="00F73363">
        <w:rPr>
          <w:rFonts w:ascii="Arial" w:eastAsiaTheme="minorEastAsia" w:hAnsi="Arial" w:cs="Arial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0" w:name="sub_20000617"/>
      <w:bookmarkEnd w:id="9"/>
      <w:r w:rsidRPr="00F73363">
        <w:rPr>
          <w:rFonts w:ascii="Arial" w:eastAsiaTheme="minorEastAsia" w:hAnsi="Arial" w:cs="Arial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1" w:name="sub_20000618"/>
      <w:bookmarkEnd w:id="10"/>
      <w:r w:rsidRPr="00F73363">
        <w:rPr>
          <w:rFonts w:ascii="Arial" w:eastAsiaTheme="minorEastAsia" w:hAnsi="Arial" w:cs="Arial"/>
          <w:lang w:eastAsia="ru-RU"/>
        </w:rPr>
        <w:t>8) инвалиды;</w:t>
      </w:r>
    </w:p>
    <w:p w:rsid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2" w:name="sub_20000619"/>
      <w:bookmarkEnd w:id="11"/>
      <w:r w:rsidRPr="00F73363">
        <w:rPr>
          <w:rFonts w:ascii="Arial" w:eastAsiaTheme="minorEastAsia" w:hAnsi="Arial" w:cs="Arial"/>
          <w:lang w:eastAsia="ru-RU"/>
        </w:rPr>
        <w:t>9) дети-инвалиды.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bookmarkEnd w:id="12"/>
    <w:p w:rsidR="00F73363" w:rsidRPr="00F73363" w:rsidRDefault="00F73363" w:rsidP="00F73363">
      <w:pPr>
        <w:pStyle w:val="a4"/>
        <w:rPr>
          <w:sz w:val="22"/>
          <w:szCs w:val="22"/>
        </w:rPr>
      </w:pPr>
      <w:r w:rsidRPr="00F73363">
        <w:rPr>
          <w:rStyle w:val="a3"/>
          <w:sz w:val="22"/>
          <w:szCs w:val="22"/>
        </w:rPr>
        <w:t>Статья 6.2</w:t>
      </w:r>
      <w:r w:rsidRPr="00F73363">
        <w:rPr>
          <w:sz w:val="22"/>
          <w:szCs w:val="22"/>
        </w:rPr>
        <w:t>. Набор социальных услуг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1. В состав предоставляемого гражданам из числа категорий, указанных в </w:t>
      </w:r>
      <w:hyperlink w:anchor="sub_2000061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статье 6.1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настоящего Федерального закона, набора социальных услуг включаются следующие социальные услуги: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>1)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lastRenderedPageBreak/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3" w:name="sub_2062121"/>
      <w:r w:rsidRPr="00F73363">
        <w:rPr>
          <w:rFonts w:ascii="Arial" w:eastAsiaTheme="minorEastAsia" w:hAnsi="Arial" w:cs="Arial"/>
          <w:lang w:eastAsia="ru-RU"/>
        </w:rP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bookmarkEnd w:id="13"/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2. 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</w:t>
      </w:r>
      <w:hyperlink w:anchor="sub_200006211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пунктом 1 части 1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настоящей статьи, и порядки формирования таких перечней.</w:t>
      </w:r>
    </w:p>
    <w:p w:rsid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>3.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lang w:eastAsia="ru-RU"/>
        </w:rPr>
      </w:pPr>
      <w:bookmarkStart w:id="14" w:name="sub_2000063"/>
      <w:r w:rsidRPr="00F73363">
        <w:rPr>
          <w:rFonts w:ascii="Arial" w:eastAsiaTheme="minorEastAsia" w:hAnsi="Arial" w:cs="Arial"/>
          <w:b/>
          <w:bCs/>
          <w:color w:val="26282F"/>
          <w:lang w:eastAsia="ru-RU"/>
        </w:rPr>
        <w:t>Статья 6.3</w:t>
      </w:r>
      <w:r w:rsidRPr="00F73363">
        <w:rPr>
          <w:rFonts w:ascii="Arial" w:eastAsiaTheme="minorEastAsia" w:hAnsi="Arial" w:cs="Arial"/>
          <w:lang w:eastAsia="ru-RU"/>
        </w:rPr>
        <w:t>. Предоставление социальных услуг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5" w:name="sub_20000631"/>
      <w:bookmarkEnd w:id="14"/>
      <w:r w:rsidRPr="00F73363">
        <w:rPr>
          <w:rFonts w:ascii="Arial" w:eastAsiaTheme="minorEastAsia" w:hAnsi="Arial" w:cs="Arial"/>
          <w:lang w:eastAsia="ru-RU"/>
        </w:rPr>
        <w:t xml:space="preserve">1. Учет права граждан на получение социальных услуг, указанных в </w:t>
      </w:r>
      <w:hyperlink w:anchor="sub_2000062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статье 6.2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настоящего Федерального закона,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6" w:name="sub_20000632"/>
      <w:bookmarkEnd w:id="15"/>
      <w:r w:rsidRPr="00F73363">
        <w:rPr>
          <w:rFonts w:ascii="Arial" w:eastAsiaTheme="minorEastAsia" w:hAnsi="Arial" w:cs="Arial"/>
          <w:lang w:eastAsia="ru-RU"/>
        </w:rPr>
        <w:t>2. Периодом предоставления гражданам социальных услуг в соответствии с настоящей главой является календарный год.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7" w:name="sub_6322"/>
      <w:bookmarkEnd w:id="16"/>
      <w:r w:rsidRPr="00F73363">
        <w:rPr>
          <w:rFonts w:ascii="Arial" w:eastAsiaTheme="minorEastAsia" w:hAnsi="Arial" w:cs="Arial"/>
          <w:lang w:eastAsia="ru-RU"/>
        </w:rPr>
        <w:t>В случае, если гражданин в течение календарного года приобрел право на получение социальных услуг в соответствии с настоящей главой, периодом предоставления ему социальных услуг является период с даты приобретения гражданином права на получение социальных услуг до 31 декабря текущего года.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8" w:name="sub_200006322"/>
      <w:bookmarkEnd w:id="17"/>
      <w:r w:rsidRPr="00F73363">
        <w:rPr>
          <w:rFonts w:ascii="Arial" w:eastAsiaTheme="minorEastAsia" w:hAnsi="Arial" w:cs="Arial"/>
          <w:lang w:eastAsia="ru-RU"/>
        </w:rPr>
        <w:t>В случае, если гражданин в течение календарного года утратил право на получение социальных услуг в соответствии с настоящей главой, периодом предоставления ему социальных услуг является период с 1 января до даты утраты гражданином права на получение социальных услуг.</w:t>
      </w:r>
    </w:p>
    <w:bookmarkEnd w:id="18"/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3. Гражданин, имеющий право на получение социальных услуг в соответствии с настоящим Федеральным законом, может отказаться от их получения, обратившись с </w:t>
      </w:r>
      <w:hyperlink r:id="rId8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заявлением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в территориальный орган Пенсионного фонда Российской Федерации, осуществляющий ему ежемесячную денежную выплату, непосредственно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19" w:name="sub_200006332"/>
      <w:r w:rsidRPr="00F73363">
        <w:rPr>
          <w:rFonts w:ascii="Arial" w:eastAsiaTheme="minorEastAsia" w:hAnsi="Arial" w:cs="Arial"/>
          <w:lang w:eastAsia="ru-RU"/>
        </w:rP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w:anchor="sub_200006211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пунктами 1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, </w:t>
      </w:r>
      <w:hyperlink w:anchor="sub_20006211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1.1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и </w:t>
      </w:r>
      <w:hyperlink w:anchor="sub_200006212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2 части 1 статьи 6.2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настоящего Федерального закона, и отказ от получения двух любых социальных услуг, предусмотренных пунктами 1, 1.1 и 2 части 1 статьи 6.2 настоящего Федерального закона.</w:t>
      </w:r>
    </w:p>
    <w:bookmarkEnd w:id="19"/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4. Гражданин может до 1 октября текущего года подать </w:t>
      </w:r>
      <w:hyperlink r:id="rId9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заявление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об отказе от получения набора социальных услуг (социальной услуги) на период с 1 января года, </w:t>
      </w:r>
      <w:r w:rsidRPr="00F73363">
        <w:rPr>
          <w:rFonts w:ascii="Arial" w:eastAsiaTheme="minorEastAsia" w:hAnsi="Arial" w:cs="Arial"/>
          <w:lang w:eastAsia="ru-RU"/>
        </w:rPr>
        <w:lastRenderedPageBreak/>
        <w:t>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20" w:name="sub_6342"/>
      <w:r w:rsidRPr="00F73363">
        <w:rPr>
          <w:rFonts w:ascii="Arial" w:eastAsiaTheme="minorEastAsia" w:hAnsi="Arial" w:cs="Arial"/>
          <w:lang w:eastAsia="ru-RU"/>
        </w:rPr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заявления.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21" w:name="sub_20006343"/>
      <w:bookmarkEnd w:id="20"/>
      <w:r w:rsidRPr="00F73363">
        <w:rPr>
          <w:rFonts w:ascii="Arial" w:eastAsiaTheme="minorEastAsia" w:hAnsi="Arial" w:cs="Arial"/>
          <w:lang w:eastAsia="ru-RU"/>
        </w:rPr>
        <w:t>Гражданин может подать заявление об отказе от получения набора социальных услуг (социальной услуги) или о возобновлении его (ее) предоставления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В последнем случае установление личности и проверка подлинности подписи гражданина осуществляются:</w:t>
      </w:r>
    </w:p>
    <w:bookmarkEnd w:id="21"/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1) нотариусом или в порядке, установленном </w:t>
      </w:r>
      <w:hyperlink r:id="rId10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пунктом 2 статьи 185.1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Гражданского кодекса Российской Федерации;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2) органом (организацией), с которым у Пенсионного фонда Российской Федерации заключено соглашение о взаимном удостоверении подписей. </w:t>
      </w:r>
      <w:hyperlink r:id="rId11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Типовая форма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указанного соглашения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населения;</w:t>
      </w:r>
    </w:p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bookmarkStart w:id="22" w:name="sub_200006343"/>
      <w:r w:rsidRPr="00F73363">
        <w:rPr>
          <w:rFonts w:ascii="Arial" w:eastAsiaTheme="minorEastAsia" w:hAnsi="Arial" w:cs="Arial"/>
          <w:lang w:eastAsia="ru-RU"/>
        </w:rPr>
        <w:t>3)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порядком.</w:t>
      </w:r>
    </w:p>
    <w:bookmarkEnd w:id="22"/>
    <w:p w:rsidR="00F73363" w:rsidRPr="00F73363" w:rsidRDefault="00F73363" w:rsidP="00F73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  <w:r w:rsidRPr="00F73363">
        <w:rPr>
          <w:rFonts w:ascii="Arial" w:eastAsiaTheme="minorEastAsia" w:hAnsi="Arial" w:cs="Arial"/>
          <w:lang w:eastAsia="ru-RU"/>
        </w:rPr>
        <w:t xml:space="preserve">5. </w:t>
      </w:r>
      <w:hyperlink r:id="rId12" w:history="1">
        <w:r w:rsidRPr="00F73363">
          <w:rPr>
            <w:rFonts w:ascii="Arial" w:eastAsiaTheme="minorEastAsia" w:hAnsi="Arial" w:cs="Arial"/>
            <w:color w:val="106BBE"/>
            <w:lang w:eastAsia="ru-RU"/>
          </w:rPr>
          <w:t>Порядок</w:t>
        </w:r>
      </w:hyperlink>
      <w:r w:rsidRPr="00F73363">
        <w:rPr>
          <w:rFonts w:ascii="Arial" w:eastAsiaTheme="minorEastAsia" w:hAnsi="Arial" w:cs="Arial"/>
          <w:lang w:eastAsia="ru-RU"/>
        </w:rPr>
        <w:t xml:space="preserve"> предоставления гражданам социальных услуг в соответствии с настоящей главой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649ED" w:rsidRPr="00F73363" w:rsidRDefault="00B649ED" w:rsidP="00F73363"/>
    <w:sectPr w:rsidR="00B649ED" w:rsidRPr="00F7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3"/>
    <w:rsid w:val="00B649ED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3363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F733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3363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F733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5846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1441&amp;sub=0" TargetMode="External"/><Relationship Id="rId12" Type="http://schemas.openxmlformats.org/officeDocument/2006/relationships/hyperlink" Target="http://ivo.garant.ru/document?id=12038705&amp;sub=1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548&amp;sub=311" TargetMode="External"/><Relationship Id="rId11" Type="http://schemas.openxmlformats.org/officeDocument/2006/relationships/hyperlink" Target="http://ivo.garant.ru/document?id=12039775&amp;sub=1000" TargetMode="External"/><Relationship Id="rId5" Type="http://schemas.openxmlformats.org/officeDocument/2006/relationships/hyperlink" Target="http://ivo.garant.ru/document?id=80687&amp;sub=0" TargetMode="External"/><Relationship Id="rId10" Type="http://schemas.openxmlformats.org/officeDocument/2006/relationships/hyperlink" Target="http://ivo.garant.ru/document?id=10064072&amp;sub=18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75846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2017-03-28T15:26:00Z</dcterms:created>
  <dcterms:modified xsi:type="dcterms:W3CDTF">2017-03-28T15:35:00Z</dcterms:modified>
</cp:coreProperties>
</file>